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pBdr>
          <w:top w:val="single" w:sz="6" w:space="0" w:color="000000"/>
          <w:left w:val="single" w:sz="6" w:space="19" w:color="000000"/>
          <w:bottom w:val="single" w:sz="6" w:space="1" w:color="000000"/>
          <w:right w:val="single" w:sz="6" w:space="1" w:color="000000"/>
        </w:pBdr>
        <w:shd w:fill="CC99FF" w:val="clear"/>
        <w:rPr>
          <w:sz w:val="24"/>
        </w:rPr>
      </w:pPr>
      <w:r>
        <w:rPr>
          <w:sz w:val="24"/>
        </w:rPr>
      </w:r>
    </w:p>
    <w:p>
      <w:pPr>
        <w:pStyle w:val="Style15"/>
        <w:pBdr>
          <w:top w:val="single" w:sz="6" w:space="0" w:color="000000"/>
          <w:left w:val="single" w:sz="6" w:space="19" w:color="000000"/>
          <w:bottom w:val="single" w:sz="6" w:space="1" w:color="000000"/>
          <w:right w:val="single" w:sz="6" w:space="1" w:color="000000"/>
        </w:pBdr>
        <w:shd w:fill="CC99FF" w:val="clear"/>
        <w:rPr>
          <w:sz w:val="24"/>
        </w:rPr>
      </w:pPr>
      <w:r>
        <w:rPr>
          <w:sz w:val="24"/>
        </w:rPr>
        <w:t xml:space="preserve">Правила оформления тезисов доклада </w:t>
      </w:r>
    </w:p>
    <w:p>
      <w:pPr>
        <w:pStyle w:val="Style15"/>
        <w:pBdr>
          <w:top w:val="single" w:sz="6" w:space="0" w:color="000000"/>
          <w:left w:val="single" w:sz="6" w:space="19" w:color="000000"/>
          <w:bottom w:val="single" w:sz="6" w:space="1" w:color="000000"/>
          <w:right w:val="single" w:sz="6" w:space="1" w:color="000000"/>
        </w:pBdr>
        <w:shd w:fill="CC99FF" w:val="clear"/>
        <w:rPr>
          <w:sz w:val="24"/>
        </w:rPr>
      </w:pPr>
      <w:r>
        <w:rPr>
          <w:sz w:val="24"/>
        </w:rPr>
      </w:r>
    </w:p>
    <w:p>
      <w:pPr>
        <w:pStyle w:val="Style16"/>
        <w:ind w:left="284" w:hanging="0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Материалы представляются:</w:t>
      </w:r>
    </w:p>
    <w:p>
      <w:pPr>
        <w:pStyle w:val="Style16"/>
        <w:numPr>
          <w:ilvl w:val="0"/>
          <w:numId w:val="6"/>
        </w:numPr>
        <w:ind w:left="284" w:hanging="283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в электронном виде по электронной почте (</w:t>
      </w:r>
      <w:hyperlink r:id="rId2">
        <w:r>
          <w:rPr>
            <w:lang w:val="en-US"/>
          </w:rPr>
          <w:t>pltrans</w:t>
        </w:r>
        <w:r>
          <w:rPr/>
          <w:t>10</w:t>
        </w:r>
        <w:r>
          <w:rPr>
            <w:lang w:val="en-US"/>
          </w:rPr>
          <w:t>confpsu</w:t>
        </w:r>
        <w:r>
          <w:rPr/>
          <w:t>@</w:t>
        </w:r>
        <w:r>
          <w:rPr>
            <w:lang w:val="en-US"/>
          </w:rPr>
          <w:t>gmail</w:t>
        </w:r>
        <w:r>
          <w:rPr/>
          <w:t>.</w:t>
        </w:r>
      </w:hyperlink>
      <w:r>
        <w:rPr>
          <w:rFonts w:cs="Times New Roman" w:ascii="Times New Roman" w:hAnsi="Times New Roman"/>
          <w:color w:val="0000FF"/>
          <w:sz w:val="24"/>
          <w:u w:val="single"/>
          <w:lang w:val="en-US"/>
        </w:rPr>
        <w:t>com</w:t>
      </w:r>
      <w:r>
        <w:rPr>
          <w:rFonts w:cs="Times New Roman" w:ascii="Times New Roman" w:hAnsi="Times New Roman"/>
          <w:b w:val="false"/>
          <w:sz w:val="24"/>
        </w:rPr>
        <w:t>)  в формате редактора Word для Windows;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360" w:leader="none"/>
          <w:tab w:val="left" w:pos="567" w:leader="none"/>
        </w:tabs>
        <w:ind w:left="284" w:hanging="283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шрифт Times New Roman, размером 12 пт; межстрочный интервал – одинарный; абзацный отступ – 1,25 см;</w:t>
      </w:r>
    </w:p>
    <w:p>
      <w:pPr>
        <w:pStyle w:val="Style16"/>
        <w:numPr>
          <w:ilvl w:val="0"/>
          <w:numId w:val="3"/>
        </w:numPr>
        <w:ind w:left="284" w:hanging="283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sz w:val="24"/>
        </w:rPr>
        <w:t>объем тезисов доклада</w:t>
      </w:r>
      <w:r>
        <w:rPr>
          <w:rFonts w:cs="Times New Roman" w:ascii="Times New Roman" w:hAnsi="Times New Roman"/>
          <w:b w:val="false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не более 2-х полных страниц</w:t>
      </w:r>
      <w:r>
        <w:rPr>
          <w:rFonts w:cs="Times New Roman" w:ascii="Times New Roman" w:hAnsi="Times New Roman"/>
          <w:b w:val="false"/>
          <w:sz w:val="24"/>
        </w:rPr>
        <w:t>;</w:t>
      </w:r>
    </w:p>
    <w:p>
      <w:pPr>
        <w:pStyle w:val="Style16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pacing w:val="-4"/>
          <w:sz w:val="24"/>
          <w:szCs w:val="16"/>
        </w:rPr>
        <w:t>размер бумаги А4 (210</w:t>
      </w:r>
      <w:r>
        <w:rPr>
          <w:rFonts w:eastAsia="Symbol" w:cs="Symbol" w:ascii="Symbol" w:hAnsi="Symbol"/>
          <w:b w:val="false"/>
          <w:spacing w:val="-4"/>
          <w:sz w:val="24"/>
          <w:szCs w:val="16"/>
        </w:rPr>
        <w:t>´</w:t>
      </w:r>
      <w:r>
        <w:rPr>
          <w:rFonts w:cs="Times New Roman" w:ascii="Times New Roman" w:hAnsi="Times New Roman"/>
          <w:b w:val="false"/>
          <w:spacing w:val="-4"/>
          <w:sz w:val="24"/>
          <w:szCs w:val="16"/>
        </w:rPr>
        <w:t xml:space="preserve">297 мм); поля сверху и снизу – 2,5 см, </w:t>
      </w:r>
      <w:r>
        <w:rPr>
          <w:rFonts w:cs="Times New Roman" w:ascii="Times New Roman" w:hAnsi="Times New Roman"/>
          <w:b w:val="false"/>
          <w:sz w:val="24"/>
        </w:rPr>
        <w:t xml:space="preserve"> слева и справа – 2,5 см;</w:t>
      </w:r>
    </w:p>
    <w:p>
      <w:pPr>
        <w:pStyle w:val="Style16"/>
        <w:numPr>
          <w:ilvl w:val="0"/>
          <w:numId w:val="5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рисунки и таблицы выполнять непосредственно в редакторе Word. Дополнительно рисунки представить отдельным файлом в формате TIFF или JPG.</w:t>
      </w:r>
    </w:p>
    <w:p>
      <w:pPr>
        <w:pStyle w:val="Style16"/>
        <w:spacing w:before="80" w:after="8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i/>
          <w:sz w:val="24"/>
          <w:lang w:val="en-US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149860</wp:posOffset>
                </wp:positionH>
                <wp:positionV relativeFrom="paragraph">
                  <wp:posOffset>127635</wp:posOffset>
                </wp:positionV>
                <wp:extent cx="4497705" cy="46799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467995"/>
                        </a:xfrm>
                        <a:prstGeom prst="rect"/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</w:rPr>
                            </w:r>
                          </w:p>
                          <w:p>
                            <w:pPr>
                              <w:pStyle w:val="Style16"/>
                              <w:spacing w:lineRule="auto" w:line="24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  <w:t>Образец оформления тезисов доклада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2A1C7" strokecolor="#000000" strokeweight="0pt" style="position:absolute;rotation:0;width:354.15pt;height:36.85pt;mso-wrap-distance-left:9.05pt;mso-wrap-distance-right:9.05pt;mso-wrap-distance-top:0pt;mso-wrap-distance-bottom:0pt;margin-top:10.05pt;mso-position-vertical-relative:text;margin-left:11.8pt;mso-position-horizontal-relative:text">
                <v:textbox>
                  <w:txbxContent>
                    <w:p>
                      <w:pPr>
                        <w:pStyle w:val="Style16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</w:rPr>
                      </w:r>
                    </w:p>
                    <w:p>
                      <w:pPr>
                        <w:pStyle w:val="Style16"/>
                        <w:spacing w:lineRule="auto" w:line="240"/>
                        <w:jc w:val="center"/>
                        <w:rPr>
                          <w:rFonts w:ascii="Times New Roman" w:hAnsi="Times New Roman" w:eastAsia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  <w:t>Образец оформления тезисов доклада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3"/>
        <w:ind w:hanging="0"/>
        <w:rPr>
          <w:rFonts w:ascii="Times New Roman" w:hAnsi="Times New Roman" w:cs="Times New Roman"/>
          <w:i/>
          <w:i/>
          <w:sz w:val="24"/>
          <w:lang w:val="en-US"/>
        </w:rPr>
      </w:pPr>
      <w:r>
        <w:rPr>
          <w:rFonts w:cs="Times New Roman" w:ascii="Times New Roman" w:hAnsi="Times New Roman"/>
          <w:i/>
          <w:sz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3"/>
        <w:ind w:hanging="0"/>
        <w:rPr/>
      </w:pPr>
      <w:r>
        <w:rPr>
          <w:rFonts w:cs="Times New Roman" w:ascii="Times New Roman" w:hAnsi="Times New Roman"/>
          <w:sz w:val="24"/>
        </w:rPr>
        <w:t xml:space="preserve">УДК </w:t>
      </w:r>
      <w:r>
        <w:rPr>
          <w:rFonts w:cs="Times New Roman" w:ascii="Times New Roman" w:hAnsi="Times New Roman"/>
          <w:caps/>
          <w:sz w:val="24"/>
        </w:rPr>
        <w:t>681.586</w:t>
      </w:r>
    </w:p>
    <w:p>
      <w:pPr>
        <w:pStyle w:val="3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ПРЕОБРАЗОВАТЕЛИ ЕМКОСТИ В ЦИФРОВОЙ КОД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А.А. Иванов</w:t>
      </w:r>
      <w:r>
        <w:rPr>
          <w:rFonts w:cs="Times New Roman" w:ascii="Times New Roman" w:hAnsi="Times New Roman"/>
          <w:b w:val="false"/>
          <w:sz w:val="24"/>
          <w:vertAlign w:val="superscript"/>
        </w:rPr>
        <w:t>1</w:t>
      </w:r>
      <w:r>
        <w:rPr>
          <w:rFonts w:cs="Times New Roman" w:ascii="Times New Roman" w:hAnsi="Times New Roman"/>
          <w:b w:val="false"/>
          <w:sz w:val="24"/>
        </w:rPr>
        <w:t>, Ю.Г. Петров</w:t>
      </w:r>
      <w:r>
        <w:rPr>
          <w:rFonts w:cs="Times New Roman" w:ascii="Times New Roman" w:hAnsi="Times New Roman"/>
          <w:b w:val="false"/>
          <w:sz w:val="24"/>
          <w:vertAlign w:val="superscript"/>
        </w:rPr>
        <w:t>2</w:t>
      </w:r>
      <w:r>
        <w:rPr>
          <w:rFonts w:cs="Times New Roman" w:ascii="Times New Roman" w:hAnsi="Times New Roman"/>
          <w:b w:val="false"/>
          <w:sz w:val="24"/>
        </w:rPr>
        <w:t xml:space="preserve"> </w:t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2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</w:p>
    <w:p>
      <w:pPr>
        <w:pStyle w:val="Style16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  <w:vertAlign w:val="superscript"/>
        </w:rPr>
        <w:t>1</w:t>
      </w:r>
      <w:r>
        <w:rPr>
          <w:rFonts w:cs="Times New Roman" w:ascii="Times New Roman" w:hAnsi="Times New Roman"/>
          <w:b w:val="false"/>
          <w:sz w:val="24"/>
        </w:rPr>
        <w:t> УО «Белорусский государственный университет информатики и радиоэлектроники» Минск, Беларусь</w:t>
      </w:r>
    </w:p>
    <w:p>
      <w:pPr>
        <w:pStyle w:val="Style16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  <w:vertAlign w:val="superscript"/>
        </w:rPr>
        <w:t>2</w:t>
      </w:r>
      <w:r>
        <w:rPr>
          <w:rFonts w:cs="Times New Roman" w:ascii="Times New Roman" w:hAnsi="Times New Roman"/>
          <w:b w:val="false"/>
          <w:sz w:val="24"/>
        </w:rPr>
        <w:t> </w:t>
      </w:r>
      <w:r>
        <w:rPr>
          <w:rFonts w:cs="Times New Roman" w:ascii="Times New Roman" w:hAnsi="Times New Roman"/>
          <w:b w:val="false"/>
          <w:spacing w:val="-4"/>
          <w:sz w:val="24"/>
          <w:szCs w:val="16"/>
        </w:rPr>
        <w:t>УО «Полоцкий государственный университет», Новополоцк, Беларусь</w:t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sz w:val="22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</w:p>
    <w:p>
      <w:pPr>
        <w:pStyle w:val="Style16"/>
        <w:tabs>
          <w:tab w:val="clear" w:pos="708"/>
          <w:tab w:val="left" w:pos="426" w:leader="none"/>
        </w:tabs>
        <w:ind w:firstLine="284"/>
        <w:jc w:val="both"/>
        <w:rPr>
          <w:rFonts w:ascii="Courier New" w:hAnsi="Courier New" w:cs="Courier New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Предлагаемые преобразователи могут найти применение для контроля емкости конденсаторов при их изготовлении и использовании, а также</w:t>
      </w:r>
      <w:r>
        <w:rPr>
          <w:rFonts w:cs="Courier New" w:ascii="Courier New" w:hAnsi="Courier New"/>
          <w:b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sz w:val="24"/>
        </w:rPr>
        <w:t xml:space="preserve">для получения информации о параметрах технологических процессов, преобразуемых в емкость [1]. </w:t>
      </w:r>
    </w:p>
    <w:p>
      <w:pPr>
        <w:pStyle w:val="Style16"/>
        <w:ind w:right="-439" w:hanging="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Style16"/>
        <w:ind w:right="-439" w:hanging="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  <w:r>
        <w:rPr>
          <w:rFonts w:cs="Times New Roman" w:ascii="Times New Roman" w:hAnsi="Times New Roman"/>
          <w:b w:val="false"/>
          <w:sz w:val="22"/>
        </w:rPr>
        <w:t xml:space="preserve">         </w:t>
      </w:r>
      <w:r>
        <w:rPr>
          <w:rFonts w:cs="Times New Roman" w:ascii="Times New Roman" w:hAnsi="Times New Roman"/>
          <w:sz w:val="24"/>
        </w:rPr>
        <w:drawing>
          <wp:inline distT="0" distB="0" distL="0" distR="0">
            <wp:extent cx="2619375" cy="885825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898" t="11340" r="10167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ind w:right="-439" w:hanging="0"/>
        <w:jc w:val="center"/>
        <w:rPr>
          <w:rFonts w:ascii="Times New Roman" w:hAnsi="Times New Roman" w:eastAsia="Times New Roman" w:cs="Times New Roman"/>
          <w:b w:val="false"/>
          <w:b w:val="false"/>
          <w:spacing w:val="-10"/>
          <w:sz w:val="24"/>
        </w:rPr>
      </w:pPr>
      <w:r>
        <w:rPr>
          <w:rFonts w:cs="Times New Roman" w:ascii="Times New Roman" w:hAnsi="Times New Roman"/>
          <w:b w:val="false"/>
          <w:spacing w:val="-10"/>
          <w:sz w:val="24"/>
        </w:rPr>
        <w:t>Рис. 1. Схема преобразователя емкости в цифровой код *</w:t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2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</w:p>
    <w:p>
      <w:pPr>
        <w:pStyle w:val="Normal"/>
        <w:spacing w:lineRule="auto" w:line="216"/>
        <w:ind w:right="-496" w:firstLine="284"/>
        <w:jc w:val="both"/>
        <w:rPr>
          <w:szCs w:val="20"/>
        </w:rPr>
      </w:pPr>
      <w:r>
        <w:rPr/>
        <w:t>Выходная величина преобразователя напряжения в цифровой код ПНК определяется через входные напряжения U</w:t>
      </w:r>
      <w:r>
        <w:rPr>
          <w:vertAlign w:val="subscript"/>
        </w:rPr>
        <w:t>1</w:t>
      </w:r>
      <w:r>
        <w:rPr/>
        <w:t xml:space="preserve"> и U</w:t>
      </w:r>
      <w:r>
        <w:rPr>
          <w:vertAlign w:val="subscript"/>
        </w:rPr>
        <w:t>2</w:t>
      </w:r>
      <w:r>
        <w:rPr/>
        <w:t xml:space="preserve"> соотношением</w:t>
      </w:r>
    </w:p>
    <w:p>
      <w:pPr>
        <w:pStyle w:val="Normal"/>
        <w:spacing w:lineRule="auto" w:line="216"/>
        <w:jc w:val="right"/>
        <w:rPr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п</m:t>
            </m:r>
          </m:sub>
        </m:sSub>
        <m:r>
          <w:rPr>
            <w:rFonts w:ascii="Cambria Math" w:hAnsi="Cambria Math"/>
          </w:rPr>
          <m:t xml:space="preserve">⋅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</m:oMath>
      <w:r>
        <w:rPr/>
        <w:t>,</w:t>
        <w:tab/>
        <w:tab/>
        <w:tab/>
        <w:t xml:space="preserve"> (1)</w:t>
      </w:r>
    </w:p>
    <w:p>
      <w:pPr>
        <w:pStyle w:val="Normal"/>
        <w:spacing w:lineRule="auto" w:line="216"/>
        <w:ind w:right="-553" w:hanging="0"/>
        <w:jc w:val="both"/>
        <w:rPr>
          <w:szCs w:val="20"/>
        </w:rPr>
      </w:pPr>
      <w:r>
        <w:rPr/>
        <w:t>где К</w:t>
      </w:r>
      <w:r>
        <w:rPr>
          <w:vertAlign w:val="subscript"/>
        </w:rPr>
        <w:t>П</w:t>
      </w:r>
      <w:r>
        <w:rPr/>
        <w:t xml:space="preserve"> – коэффициент передачи выпрямителей</w:t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0"/>
        </w:rPr>
      </w:pPr>
      <w:r>
        <w:rPr>
          <w:rFonts w:cs="Times New Roman" w:ascii="Times New Roman" w:hAnsi="Times New Roman"/>
          <w:b w:val="false"/>
          <w:i/>
          <w:sz w:val="20"/>
        </w:rPr>
        <w:t>(Пустая строка)</w:t>
      </w:r>
    </w:p>
    <w:p>
      <w:pPr>
        <w:pStyle w:val="Style16"/>
        <w:spacing w:lineRule="auto" w:line="216"/>
        <w:jc w:val="right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Таблица 1</w:t>
      </w:r>
    </w:p>
    <w:p>
      <w:pPr>
        <w:pStyle w:val="Style16"/>
        <w:ind w:right="-439" w:hanging="0"/>
        <w:jc w:val="center"/>
        <w:rPr/>
      </w:pPr>
      <w:r>
        <w:rPr>
          <w:rFonts w:cs="Times New Roman" w:ascii="Times New Roman" w:hAnsi="Times New Roman"/>
          <w:b w:val="false"/>
          <w:sz w:val="24"/>
        </w:rPr>
        <w:t xml:space="preserve">Результаты измерений* </w:t>
      </w:r>
    </w:p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2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</w:p>
    <w:p>
      <w:pPr>
        <w:pStyle w:val="Style16"/>
        <w:spacing w:lineRule="auto" w:line="2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4"/>
        </w:rPr>
      </w:pPr>
      <w:r>
        <w:rPr>
          <w:rFonts w:eastAsia="Times New Roman" w:cs="Times New Roman" w:ascii="Times New Roman" w:hAnsi="Times New Roman"/>
          <w:b w:val="false"/>
          <w:i/>
          <w:sz w:val="24"/>
        </w:rPr>
      </w:r>
    </w:p>
    <w:tbl>
      <w:tblPr>
        <w:tblW w:w="3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769"/>
      </w:tblGrid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</w:rPr>
              <w:t>измерения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Отклонение, %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7,2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16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7,5</w:t>
            </w:r>
          </w:p>
        </w:tc>
      </w:tr>
    </w:tbl>
    <w:p>
      <w:pPr>
        <w:pStyle w:val="Style16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sz w:val="22"/>
        </w:rPr>
      </w:pPr>
      <w:r>
        <w:rPr>
          <w:rFonts w:cs="Times New Roman" w:ascii="Times New Roman" w:hAnsi="Times New Roman"/>
          <w:b w:val="false"/>
          <w:i/>
          <w:sz w:val="22"/>
        </w:rPr>
        <w:t>(Пустая строка)</w:t>
      </w:r>
    </w:p>
    <w:p>
      <w:pPr>
        <w:pStyle w:val="Style16"/>
        <w:spacing w:lineRule="auto" w:line="216"/>
        <w:jc w:val="both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>*</w:t>
      </w:r>
      <w:r>
        <w:rPr>
          <w:rFonts w:eastAsia="Times New Roman" w:cs="Times New Roman" w:ascii="Times New Roman" w:hAnsi="Times New Roman"/>
          <w:b w:val="false"/>
          <w:i/>
          <w:sz w:val="24"/>
        </w:rPr>
        <w:t>Р</w:t>
      </w:r>
      <w:r>
        <w:rPr>
          <w:rFonts w:cs="Times New Roman" w:ascii="Times New Roman" w:hAnsi="Times New Roman"/>
          <w:b w:val="false"/>
          <w:i/>
          <w:spacing w:val="-10"/>
          <w:sz w:val="24"/>
        </w:rPr>
        <w:t>азмер подрисуночной подписи и названия таблицы 12 пт,</w:t>
      </w:r>
      <w:r>
        <w:rPr>
          <w:rFonts w:cs="Times New Roman" w:ascii="Times New Roman" w:hAnsi="Times New Roman"/>
          <w:b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i/>
          <w:sz w:val="24"/>
        </w:rPr>
        <w:t>шрифт Times New Roman</w:t>
      </w:r>
    </w:p>
    <w:p>
      <w:pPr>
        <w:pStyle w:val="Style16"/>
        <w:spacing w:lineRule="auto" w:line="216"/>
        <w:jc w:val="center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</w:r>
    </w:p>
    <w:p>
      <w:pPr>
        <w:pStyle w:val="Style16"/>
        <w:spacing w:lineRule="auto" w:line="216"/>
        <w:jc w:val="center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</w:r>
    </w:p>
    <w:p>
      <w:pPr>
        <w:pStyle w:val="Style16"/>
        <w:spacing w:lineRule="auto" w:line="216"/>
        <w:ind w:right="-553" w:hanging="0"/>
        <w:jc w:val="center"/>
        <w:rPr>
          <w:rFonts w:ascii="Times New Roman" w:hAnsi="Times New Roman" w:eastAsia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ЛИТЕРАТУРА</w:t>
      </w:r>
    </w:p>
    <w:p>
      <w:pPr>
        <w:pStyle w:val="Normal"/>
        <w:tabs>
          <w:tab w:val="clear" w:pos="708"/>
          <w:tab w:val="left" w:pos="240" w:leader="none"/>
        </w:tabs>
        <w:ind w:right="-394" w:hanging="0"/>
        <w:jc w:val="both"/>
        <w:rPr/>
      </w:pPr>
      <w:r>
        <w:rPr>
          <w:bCs/>
          <w:szCs w:val="16"/>
        </w:rPr>
        <w:t>1. Сидоров А.А. АЦП для автоматического управления технологическими процессами // Радиотехника. – 1998. – № 2.– С. 28 – 32.</w:t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Courier New" w:hAnsi="Courier New" w:cs="Courier New"/>
          <w:bCs/>
          <w:szCs w:val="16"/>
        </w:rPr>
      </w:pPr>
      <w:r>
        <w:rPr>
          <w:rFonts w:cs="Courier New" w:ascii="Courier New" w:hAnsi="Courier New"/>
          <w:bCs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95" w:leader="none"/>
          <w:tab w:val="left" w:pos="7230" w:leader="none"/>
        </w:tabs>
        <w:ind w:left="0" w:right="-354" w:hanging="0"/>
        <w:rPr>
          <w:rFonts w:ascii="Courier New" w:hAnsi="Courier New" w:cs="Courier New"/>
          <w:bCs/>
          <w:i/>
          <w:i/>
          <w:szCs w:val="16"/>
        </w:rPr>
      </w:pPr>
      <w:r>
        <w:rPr>
          <w:i/>
        </w:rPr>
        <w:t>Нумерация литературных источников приводится по мере упоминания в тексте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30" w:leader="none"/>
        </w:tabs>
        <w:ind w:left="0" w:right="145" w:hanging="0"/>
        <w:rPr>
          <w:rFonts w:ascii="Courier New" w:hAnsi="Courier New" w:cs="Courier New"/>
          <w:bCs/>
          <w:i/>
          <w:i/>
          <w:szCs w:val="16"/>
        </w:rPr>
      </w:pPr>
      <w:r>
        <w:rPr>
          <w:rFonts w:cs="Courier New" w:ascii="Courier New" w:hAnsi="Courier New"/>
          <w:bCs/>
          <w:i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30" w:leader="none"/>
        </w:tabs>
        <w:ind w:left="0" w:right="145" w:hanging="0"/>
        <w:rPr>
          <w:rFonts w:ascii="Courier New" w:hAnsi="Courier New" w:cs="Courier New"/>
          <w:bCs/>
          <w:szCs w:val="16"/>
        </w:rPr>
      </w:pPr>
      <w:r>
        <w:rPr>
          <w:rFonts w:cs="Courier New" w:ascii="Courier New" w:hAnsi="Courier New"/>
          <w:bCs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30" w:leader="none"/>
        </w:tabs>
        <w:ind w:left="0" w:right="145" w:hanging="0"/>
        <w:rPr>
          <w:rFonts w:ascii="Courier New" w:hAnsi="Courier New" w:cs="Courier New"/>
          <w:bCs/>
          <w:szCs w:val="16"/>
        </w:rPr>
      </w:pPr>
      <w:r>
        <w:rPr>
          <w:rFonts w:cs="Courier New" w:ascii="Courier New" w:hAnsi="Courier New"/>
          <w:bCs/>
          <w:szCs w:val="16"/>
        </w:rPr>
      </w:r>
    </w:p>
    <w:p>
      <w:pPr>
        <w:pStyle w:val="Normal"/>
        <w:rPr>
          <w:rFonts w:ascii="Courier New" w:hAnsi="Courier New" w:cs="Courier New"/>
          <w:bCs/>
          <w:szCs w:val="16"/>
        </w:rPr>
      </w:pPr>
      <w:r>
        <w:rPr>
          <w:rFonts w:cs="Courier New" w:ascii="Courier New" w:hAnsi="Courier New"/>
          <w:bCs/>
          <w:szCs w:val="16"/>
        </w:rPr>
      </w:r>
    </w:p>
    <w:sectPr>
      <w:type w:val="nextPage"/>
      <w:pgSz w:orient="landscape" w:w="16838" w:h="11906"/>
      <w:pgMar w:left="993" w:right="822" w:header="0" w:top="397" w:footer="0" w:bottom="357" w:gutter="0"/>
      <w:pgNumType w:fmt="decimal"/>
      <w:cols w:num="2" w:space="400" w:equalWidth="true" w:sep="true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Book Antiqua">
    <w:charset w:val="cc"/>
    <w:family w:val="roman"/>
    <w:pitch w:val="variable"/>
  </w:font>
  <w:font w:name="Wingdings">
    <w:charset w:val="02"/>
    <w:family w:val="auto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00" w:after="0"/>
      <w:ind w:left="-1276" w:right="40" w:firstLine="1276"/>
      <w:jc w:val="center"/>
      <w:outlineLvl w:val="0"/>
    </w:pPr>
    <w:rPr>
      <w:rFonts w:ascii="Courier New" w:hAnsi="Courier New" w:eastAsia="MS Mincho;ＭＳ 明朝" w:cs="Courier New"/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hanging="0"/>
      <w:outlineLvl w:val="2"/>
    </w:pPr>
    <w:rPr>
      <w:rFonts w:ascii="Book Antiqua" w:hAnsi="Book Antiqua" w:eastAsia="MS Mincho;ＭＳ 明朝" w:cs="Book Antiqua"/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z w:val="48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Palatino Linotype" w:hAnsi="Palatino Linotype" w:cs="Palatino Linotyp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sz w:val="16"/>
      <w:szCs w:val="16"/>
    </w:rPr>
  </w:style>
  <w:style w:type="character" w:styleId="WW8Num16z0">
    <w:name w:val="WW8Num16z0"/>
    <w:qFormat/>
    <w:rPr>
      <w:rFonts w:ascii="Times New Roman" w:hAnsi="Times New Roman" w:cs="Times New Roman"/>
      <w:sz w:val="48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St1z0">
    <w:name w:val="WW8NumSt1z0"/>
    <w:qFormat/>
    <w:rPr>
      <w:rFonts w:ascii="Symbol" w:hAnsi="Symbol" w:cs="Symbol"/>
    </w:rPr>
  </w:style>
  <w:style w:type="character" w:styleId="WW8NumSt2z0">
    <w:name w:val="WW8NumSt2z0"/>
    <w:qFormat/>
    <w:rPr>
      <w:rFonts w:ascii="Symbol" w:hAnsi="Symbol" w:cs="Symbol"/>
    </w:rPr>
  </w:style>
  <w:style w:type="character" w:styleId="WW8NumSt20z0">
    <w:name w:val="WW8NumSt20z0"/>
    <w:qFormat/>
    <w:rPr>
      <w:rFonts w:ascii="Symbol" w:hAnsi="Symbol" w:cs="Symbol"/>
    </w:rPr>
  </w:style>
  <w:style w:type="character" w:styleId="WW8NumSt20z1">
    <w:name w:val="WW8NumSt20z1"/>
    <w:qFormat/>
    <w:rPr>
      <w:rFonts w:ascii="Courier New" w:hAnsi="Courier New" w:cs="Courier New"/>
    </w:rPr>
  </w:style>
  <w:style w:type="character" w:styleId="WW8NumSt20z2">
    <w:name w:val="WW8NumSt20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numPr>
        <w:ilvl w:val="0"/>
        <w:numId w:val="0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lineRule="exact" w:line="260" w:before="0" w:after="60"/>
      <w:ind w:left="425" w:right="45" w:hanging="0"/>
      <w:jc w:val="center"/>
    </w:pPr>
    <w:rPr>
      <w:rFonts w:eastAsia="MS Mincho;ＭＳ 明朝"/>
      <w:b/>
      <w:sz w:val="26"/>
      <w:szCs w:val="20"/>
    </w:rPr>
  </w:style>
  <w:style w:type="paragraph" w:styleId="Style16">
    <w:name w:val="Body Text"/>
    <w:basedOn w:val="Normal"/>
    <w:pPr>
      <w:numPr>
        <w:ilvl w:val="0"/>
        <w:numId w:val="0"/>
      </w:numPr>
      <w:spacing w:lineRule="atLeast" w:line="160"/>
      <w:ind w:hanging="0"/>
    </w:pPr>
    <w:rPr>
      <w:rFonts w:ascii="Book Antiqua" w:hAnsi="Book Antiqua" w:eastAsia="MS Mincho;ＭＳ 明朝" w:cs="Book Antiqua"/>
      <w:b/>
      <w:bCs/>
      <w:sz w:val="26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Основной текст 3"/>
    <w:basedOn w:val="Normal"/>
    <w:qFormat/>
    <w:pPr>
      <w:numPr>
        <w:ilvl w:val="0"/>
        <w:numId w:val="0"/>
      </w:numPr>
      <w:tabs>
        <w:tab w:val="clear" w:pos="708"/>
        <w:tab w:val="left" w:pos="7230" w:leader="none"/>
      </w:tabs>
      <w:spacing w:lineRule="auto" w:line="384"/>
      <w:ind w:right="45" w:hanging="0"/>
      <w:jc w:val="center"/>
    </w:pPr>
    <w:rPr>
      <w:rFonts w:ascii="Courier New" w:hAnsi="Courier New" w:eastAsia="MS Mincho;ＭＳ 明朝" w:cs="Courier New"/>
      <w:b/>
      <w:bCs/>
      <w:i/>
      <w:iCs/>
    </w:rPr>
  </w:style>
  <w:style w:type="paragraph" w:styleId="2">
    <w:name w:val="Основной текст 2"/>
    <w:basedOn w:val="Normal"/>
    <w:qFormat/>
    <w:pPr>
      <w:numPr>
        <w:ilvl w:val="0"/>
        <w:numId w:val="0"/>
      </w:numPr>
      <w:tabs>
        <w:tab w:val="clear" w:pos="708"/>
        <w:tab w:val="left" w:pos="7230" w:leader="none"/>
      </w:tabs>
      <w:ind w:right="162" w:hanging="0"/>
    </w:pPr>
    <w:rPr>
      <w:rFonts w:ascii="Courier New" w:hAnsi="Courier New" w:cs="Courier New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trans10confpsu@gmail.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</TotalTime>
  <Application>LibreOffice/7.1.5.2$Windows_x86 LibreOffice_project/85f04e9f809797b8199d13c421bd8a2b025d52b5</Application>
  <AppVersion>15.0000</AppVersion>
  <Pages>1</Pages>
  <Words>236</Words>
  <Characters>1502</Characters>
  <CharactersWithSpaces>1722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2022-08-17T11:04:00Z</dcterms:created>
  <dc:creator>olya</dc:creator>
  <dc:description/>
  <cp:keywords> </cp:keywords>
  <dc:language>ru-RU</dc:language>
  <cp:lastModifiedBy>Бословяк Сергей Васильевич</cp:lastModifiedBy>
  <cp:lastPrinted>2007-10-11T09:07:00Z</cp:lastPrinted>
  <dcterms:modified xsi:type="dcterms:W3CDTF">2022-08-31T15:28:00Z</dcterms:modified>
  <cp:revision>13</cp:revision>
  <dc:subject/>
  <dc:title/>
</cp:coreProperties>
</file>